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autoSpaceDN/>
        <w:bidi w:val="0"/>
        <w:adjustRightInd/>
        <w:snapToGrid w:val="0"/>
        <w:spacing w:line="560" w:lineRule="exact"/>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附件1</w:t>
      </w:r>
    </w:p>
    <w:p>
      <w:pPr>
        <w:pageBreakBefore w:val="0"/>
        <w:kinsoku/>
        <w:overflowPunct/>
        <w:topLinePunct w:val="0"/>
        <w:autoSpaceDE/>
        <w:autoSpaceDN/>
        <w:bidi w:val="0"/>
        <w:adjustRightInd/>
        <w:snapToGrid w:val="0"/>
        <w:spacing w:line="560" w:lineRule="exact"/>
        <w:jc w:val="left"/>
        <w:textAlignment w:val="auto"/>
        <w:rPr>
          <w:rFonts w:hint="eastAsia" w:ascii="黑体" w:hAnsi="黑体" w:eastAsia="黑体" w:cs="黑体"/>
          <w:color w:val="000000"/>
          <w:kern w:val="0"/>
          <w:sz w:val="32"/>
          <w:szCs w:val="32"/>
        </w:rPr>
      </w:pPr>
    </w:p>
    <w:p>
      <w:pPr>
        <w:pageBreakBefore w:val="0"/>
        <w:kinsoku/>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 w:val="0"/>
          <w:bCs w:val="0"/>
          <w:color w:val="000000"/>
          <w:kern w:val="0"/>
          <w:sz w:val="44"/>
          <w:szCs w:val="44"/>
        </w:rPr>
      </w:pPr>
      <w:r>
        <w:rPr>
          <w:rFonts w:hint="eastAsia" w:ascii="方正小标宋_GBK" w:hAnsi="方正小标宋_GBK" w:eastAsia="方正小标宋_GBK" w:cs="方正小标宋_GBK"/>
          <w:b w:val="0"/>
          <w:bCs w:val="0"/>
          <w:color w:val="000000"/>
          <w:kern w:val="0"/>
          <w:sz w:val="44"/>
          <w:szCs w:val="44"/>
        </w:rPr>
        <w:t>202</w:t>
      </w:r>
      <w:r>
        <w:rPr>
          <w:rFonts w:hint="eastAsia" w:ascii="方正小标宋_GBK" w:hAnsi="方正小标宋_GBK" w:eastAsia="方正小标宋_GBK" w:cs="方正小标宋_GBK"/>
          <w:b w:val="0"/>
          <w:bCs w:val="0"/>
          <w:color w:val="000000"/>
          <w:kern w:val="0"/>
          <w:sz w:val="44"/>
          <w:szCs w:val="44"/>
          <w:lang w:val="en-US" w:eastAsia="zh-CN"/>
        </w:rPr>
        <w:t>4</w:t>
      </w:r>
      <w:r>
        <w:rPr>
          <w:rFonts w:hint="eastAsia" w:ascii="方正小标宋_GBK" w:hAnsi="方正小标宋_GBK" w:eastAsia="方正小标宋_GBK" w:cs="方正小标宋_GBK"/>
          <w:b w:val="0"/>
          <w:bCs w:val="0"/>
          <w:color w:val="000000"/>
          <w:kern w:val="0"/>
          <w:sz w:val="44"/>
          <w:szCs w:val="44"/>
        </w:rPr>
        <w:t>年尽职调查第三方人力外包</w:t>
      </w:r>
    </w:p>
    <w:p>
      <w:pPr>
        <w:pageBreakBefore w:val="0"/>
        <w:kinsoku/>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color w:val="000000"/>
          <w:kern w:val="0"/>
          <w:sz w:val="44"/>
          <w:szCs w:val="44"/>
        </w:rPr>
        <w:t>资质</w:t>
      </w:r>
      <w:r>
        <w:rPr>
          <w:rFonts w:hint="eastAsia" w:ascii="方正小标宋_GBK" w:hAnsi="方正小标宋_GBK" w:eastAsia="方正小标宋_GBK" w:cs="方正小标宋_GBK"/>
          <w:b w:val="0"/>
          <w:bCs w:val="0"/>
          <w:color w:val="000000"/>
          <w:kern w:val="0"/>
          <w:sz w:val="44"/>
          <w:szCs w:val="44"/>
          <w:lang w:val="en-US" w:eastAsia="zh-CN"/>
        </w:rPr>
        <w:t>要求</w:t>
      </w:r>
      <w:r>
        <w:rPr>
          <w:rFonts w:hint="eastAsia" w:ascii="方正小标宋_GBK" w:hAnsi="方正小标宋_GBK" w:eastAsia="方正小标宋_GBK" w:cs="方正小标宋_GBK"/>
          <w:b w:val="0"/>
          <w:bCs w:val="0"/>
          <w:color w:val="000000"/>
          <w:kern w:val="0"/>
          <w:sz w:val="44"/>
          <w:szCs w:val="44"/>
        </w:rPr>
        <w:t>及</w:t>
      </w:r>
      <w:r>
        <w:rPr>
          <w:rFonts w:hint="eastAsia" w:ascii="方正小标宋_GBK" w:hAnsi="方正小标宋_GBK" w:eastAsia="方正小标宋_GBK" w:cs="方正小标宋_GBK"/>
          <w:b w:val="0"/>
          <w:bCs w:val="0"/>
          <w:sz w:val="44"/>
          <w:szCs w:val="44"/>
        </w:rPr>
        <w:t>评分办法</w:t>
      </w:r>
    </w:p>
    <w:p>
      <w:pPr>
        <w:pageBreakBefore w:val="0"/>
        <w:kinsoku/>
        <w:overflowPunct/>
        <w:topLinePunct w:val="0"/>
        <w:autoSpaceDE/>
        <w:autoSpaceDN/>
        <w:bidi w:val="0"/>
        <w:adjustRightInd/>
        <w:snapToGrid w:val="0"/>
        <w:spacing w:line="560" w:lineRule="exact"/>
        <w:jc w:val="center"/>
        <w:textAlignment w:val="auto"/>
        <w:rPr>
          <w:rFonts w:hint="eastAsia" w:ascii="方正小标宋_GBK" w:hAnsi="方正小标宋_GBK" w:eastAsia="方正小标宋_GBK" w:cs="方正小标宋_GBK"/>
          <w:b/>
          <w:bCs/>
          <w:sz w:val="44"/>
          <w:szCs w:val="44"/>
        </w:rPr>
      </w:pPr>
    </w:p>
    <w:p>
      <w:pPr>
        <w:pageBreakBefore w:val="0"/>
        <w:numPr>
          <w:ilvl w:val="0"/>
          <w:numId w:val="1"/>
        </w:numPr>
        <w:kinsoku/>
        <w:wordWrap w:val="0"/>
        <w:overflowPunct/>
        <w:topLinePunct w:val="0"/>
        <w:autoSpaceDE/>
        <w:autoSpaceDN/>
        <w:bidi w:val="0"/>
        <w:adjustRightInd/>
        <w:snapToGrid w:val="0"/>
        <w:spacing w:line="560" w:lineRule="exact"/>
        <w:ind w:left="0" w:leftChars="0" w:right="840" w:firstLine="560" w:firstLineChars="175"/>
        <w:textAlignment w:val="auto"/>
        <w:rPr>
          <w:rFonts w:ascii="黑体" w:hAnsi="黑体" w:eastAsia="黑体" w:cs="黑体"/>
          <w:sz w:val="32"/>
          <w:szCs w:val="32"/>
        </w:rPr>
      </w:pPr>
      <w:r>
        <w:rPr>
          <w:rFonts w:hint="eastAsia" w:ascii="黑体" w:hAnsi="黑体" w:eastAsia="黑体" w:cs="黑体"/>
          <w:sz w:val="32"/>
          <w:szCs w:val="32"/>
        </w:rPr>
        <w:t>资质要求</w:t>
      </w:r>
    </w:p>
    <w:p>
      <w:pPr>
        <w:pageBreakBefore w:val="0"/>
        <w:numPr>
          <w:ilvl w:val="0"/>
          <w:numId w:val="2"/>
        </w:numPr>
        <w:kinsoku/>
        <w:overflowPunct/>
        <w:topLinePunct w:val="0"/>
        <w:autoSpaceDE/>
        <w:autoSpaceDN/>
        <w:bidi w:val="0"/>
        <w:adjustRightInd/>
        <w:snapToGrid w:val="0"/>
        <w:spacing w:line="560" w:lineRule="exact"/>
        <w:ind w:left="0" w:leftChars="0" w:firstLine="560" w:firstLineChars="175"/>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公司资质要求</w:t>
      </w:r>
    </w:p>
    <w:p>
      <w:pPr>
        <w:pageBreakBefore w:val="0"/>
        <w:numPr>
          <w:ilvl w:val="0"/>
          <w:numId w:val="3"/>
        </w:numPr>
        <w:kinsoku/>
        <w:overflowPunct/>
        <w:topLinePunct w:val="0"/>
        <w:autoSpaceDE/>
        <w:autoSpaceDN/>
        <w:bidi w:val="0"/>
        <w:adjustRightInd/>
        <w:snapToGrid w:val="0"/>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ISO20000信息技术服务管理体系认证</w:t>
      </w:r>
    </w:p>
    <w:p>
      <w:pPr>
        <w:pageBreakBefore w:val="0"/>
        <w:numPr>
          <w:ilvl w:val="0"/>
          <w:numId w:val="3"/>
        </w:numPr>
        <w:kinsoku/>
        <w:overflowPunct/>
        <w:topLinePunct w:val="0"/>
        <w:autoSpaceDE/>
        <w:autoSpaceDN/>
        <w:bidi w:val="0"/>
        <w:adjustRightInd/>
        <w:snapToGrid w:val="0"/>
        <w:spacing w:line="560" w:lineRule="exact"/>
        <w:ind w:left="0" w:leftChars="0" w:firstLine="640" w:firstLineChars="200"/>
        <w:textAlignment w:val="auto"/>
        <w:rPr>
          <w:rFonts w:ascii="仿宋" w:hAnsi="仿宋" w:eastAsia="仿宋" w:cs="仿宋"/>
          <w:sz w:val="32"/>
          <w:szCs w:val="32"/>
        </w:rPr>
      </w:pPr>
      <w:r>
        <w:rPr>
          <w:rFonts w:hint="eastAsia" w:ascii="仿宋" w:hAnsi="仿宋" w:eastAsia="仿宋" w:cs="仿宋"/>
          <w:sz w:val="32"/>
          <w:szCs w:val="32"/>
        </w:rPr>
        <w:t>ISO27001信息安全管理体系认证</w:t>
      </w:r>
    </w:p>
    <w:p>
      <w:pPr>
        <w:pageBreakBefore w:val="0"/>
        <w:numPr>
          <w:ilvl w:val="0"/>
          <w:numId w:val="2"/>
        </w:numPr>
        <w:kinsoku/>
        <w:overflowPunct/>
        <w:topLinePunct w:val="0"/>
        <w:autoSpaceDE/>
        <w:autoSpaceDN/>
        <w:bidi w:val="0"/>
        <w:adjustRightInd/>
        <w:snapToGrid w:val="0"/>
        <w:spacing w:line="560" w:lineRule="exact"/>
        <w:ind w:left="0" w:leftChars="0" w:firstLine="560" w:firstLineChars="175"/>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过往案例要求</w:t>
      </w:r>
    </w:p>
    <w:p>
      <w:pPr>
        <w:pageBreakBefore w:val="0"/>
        <w:kinsoku/>
        <w:overflowPunct/>
        <w:topLinePunct w:val="0"/>
        <w:autoSpaceDE/>
        <w:autoSpaceDN/>
        <w:bidi w:val="0"/>
        <w:adjustRightInd/>
        <w:snapToGrid w:val="0"/>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年1月1日起至今</w:t>
      </w:r>
      <w:r>
        <w:rPr>
          <w:rFonts w:hint="eastAsia" w:ascii="仿宋" w:hAnsi="仿宋" w:eastAsia="仿宋" w:cs="仿宋"/>
          <w:sz w:val="32"/>
          <w:szCs w:val="32"/>
          <w:lang w:val="en-US" w:eastAsia="zh-CN"/>
        </w:rPr>
        <w:t>至少</w:t>
      </w:r>
      <w:r>
        <w:rPr>
          <w:rFonts w:hint="eastAsia" w:ascii="仿宋" w:hAnsi="仿宋" w:eastAsia="仿宋" w:cs="仿宋"/>
          <w:sz w:val="32"/>
          <w:szCs w:val="32"/>
        </w:rPr>
        <w:t>参与过</w:t>
      </w:r>
      <w:r>
        <w:rPr>
          <w:rFonts w:hint="eastAsia" w:ascii="仿宋" w:hAnsi="仿宋" w:eastAsia="仿宋" w:cs="仿宋"/>
          <w:sz w:val="32"/>
          <w:szCs w:val="32"/>
          <w:lang w:val="en-US" w:eastAsia="zh-CN"/>
        </w:rPr>
        <w:t>5家</w:t>
      </w:r>
      <w:r>
        <w:rPr>
          <w:rFonts w:hint="eastAsia" w:ascii="仿宋" w:hAnsi="仿宋" w:eastAsia="仿宋" w:cs="仿宋"/>
          <w:sz w:val="32"/>
          <w:szCs w:val="32"/>
        </w:rPr>
        <w:t>金融</w:t>
      </w:r>
      <w:r>
        <w:rPr>
          <w:rFonts w:hint="eastAsia" w:ascii="仿宋" w:hAnsi="仿宋" w:eastAsia="仿宋" w:cs="仿宋"/>
          <w:sz w:val="32"/>
          <w:szCs w:val="32"/>
          <w:lang w:val="en-US" w:eastAsia="zh-CN"/>
        </w:rPr>
        <w:t>机构</w:t>
      </w:r>
      <w:r>
        <w:rPr>
          <w:rFonts w:hint="eastAsia" w:ascii="仿宋" w:hAnsi="仿宋" w:eastAsia="仿宋" w:cs="仿宋"/>
          <w:sz w:val="32"/>
          <w:szCs w:val="32"/>
        </w:rPr>
        <w:t>开展的“信息科技审计”、“</w:t>
      </w:r>
      <w:r>
        <w:rPr>
          <w:rFonts w:hint="eastAsia" w:ascii="仿宋" w:hAnsi="仿宋" w:eastAsia="仿宋" w:cs="仿宋"/>
          <w:sz w:val="32"/>
          <w:szCs w:val="32"/>
          <w:highlight w:val="none"/>
        </w:rPr>
        <w:t>信息安全审计”、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信息安全评估”或</w:t>
      </w:r>
      <w:r>
        <w:rPr>
          <w:rFonts w:hint="eastAsia" w:ascii="仿宋" w:hAnsi="仿宋" w:eastAsia="仿宋" w:cs="仿宋"/>
          <w:sz w:val="32"/>
          <w:szCs w:val="32"/>
          <w:highlight w:val="none"/>
        </w:rPr>
        <w:t>“尽职调查”相关活动</w:t>
      </w:r>
      <w:r>
        <w:rPr>
          <w:rFonts w:hint="eastAsia" w:ascii="仿宋" w:hAnsi="仿宋" w:eastAsia="仿宋" w:cs="仿宋"/>
          <w:sz w:val="32"/>
          <w:szCs w:val="32"/>
          <w:highlight w:val="none"/>
          <w:lang w:val="en-US" w:eastAsia="zh-CN"/>
        </w:rPr>
        <w:t>。</w:t>
      </w:r>
      <w:r>
        <w:rPr>
          <w:rFonts w:hint="eastAsia" w:ascii="楷体" w:hAnsi="楷体" w:eastAsia="楷体" w:cs="楷体"/>
          <w:sz w:val="32"/>
          <w:szCs w:val="32"/>
          <w:lang w:val="en-US" w:eastAsia="zh-CN"/>
        </w:rPr>
        <w:t>证明材料要求：</w:t>
      </w:r>
      <w:r>
        <w:rPr>
          <w:rFonts w:hint="eastAsia" w:ascii="仿宋" w:hAnsi="仿宋" w:eastAsia="仿宋" w:cs="仿宋"/>
          <w:sz w:val="32"/>
          <w:szCs w:val="32"/>
          <w:highlight w:val="none"/>
        </w:rPr>
        <w:t>需提供</w:t>
      </w:r>
      <w:r>
        <w:rPr>
          <w:rFonts w:hint="eastAsia" w:ascii="仿宋" w:hAnsi="仿宋" w:eastAsia="仿宋" w:cs="仿宋"/>
          <w:sz w:val="32"/>
          <w:szCs w:val="32"/>
          <w:highlight w:val="none"/>
          <w:lang w:val="en-US" w:eastAsia="zh-CN"/>
        </w:rPr>
        <w:t>与其他金融机构签订的符合要求的合同材料页，材料页至少包括甲乙双方名称、</w:t>
      </w:r>
      <w:r>
        <w:rPr>
          <w:rFonts w:hint="eastAsia" w:ascii="仿宋" w:hAnsi="仿宋" w:eastAsia="仿宋" w:cs="仿宋"/>
          <w:sz w:val="32"/>
          <w:szCs w:val="32"/>
        </w:rPr>
        <w:t>项目合作内容</w:t>
      </w:r>
      <w:r>
        <w:rPr>
          <w:rFonts w:hint="eastAsia" w:ascii="仿宋" w:hAnsi="仿宋" w:eastAsia="仿宋" w:cs="仿宋"/>
          <w:sz w:val="32"/>
          <w:szCs w:val="32"/>
          <w:lang w:val="en-US" w:eastAsia="zh-CN"/>
        </w:rPr>
        <w:t>描述部分、合作时间。</w:t>
      </w:r>
    </w:p>
    <w:p>
      <w:pPr>
        <w:pageBreakBefore w:val="0"/>
        <w:numPr>
          <w:ilvl w:val="0"/>
          <w:numId w:val="2"/>
        </w:numPr>
        <w:kinsoku/>
        <w:overflowPunct/>
        <w:topLinePunct w:val="0"/>
        <w:autoSpaceDE/>
        <w:autoSpaceDN/>
        <w:bidi w:val="0"/>
        <w:adjustRightInd/>
        <w:snapToGrid w:val="0"/>
        <w:spacing w:line="560" w:lineRule="exact"/>
        <w:ind w:left="0" w:leftChars="0" w:firstLine="560" w:firstLineChars="175"/>
        <w:textAlignment w:val="auto"/>
        <w:rPr>
          <w:rFonts w:hint="default" w:ascii="楷体" w:hAnsi="楷体" w:eastAsia="楷体" w:cs="楷体"/>
          <w:b w:val="0"/>
          <w:bCs w:val="0"/>
          <w:sz w:val="32"/>
          <w:szCs w:val="32"/>
          <w:lang w:val="en-US" w:eastAsia="zh-CN"/>
        </w:rPr>
      </w:pPr>
      <w:bookmarkStart w:id="0" w:name="OLE_LINK1"/>
      <w:r>
        <w:rPr>
          <w:rFonts w:hint="eastAsia" w:ascii="楷体" w:hAnsi="楷体" w:eastAsia="楷体" w:cs="楷体"/>
          <w:b w:val="0"/>
          <w:bCs w:val="0"/>
          <w:sz w:val="32"/>
          <w:szCs w:val="32"/>
          <w:lang w:val="en-US" w:eastAsia="zh-CN"/>
        </w:rPr>
        <w:t>公司安全技术能力要求</w:t>
      </w:r>
    </w:p>
    <w:p>
      <w:pPr>
        <w:pageBreakBefore w:val="0"/>
        <w:kinsoku/>
        <w:overflowPunct/>
        <w:topLinePunct w:val="0"/>
        <w:autoSpaceDE/>
        <w:autoSpaceDN/>
        <w:bidi w:val="0"/>
        <w:adjustRightInd/>
        <w:snapToGrid w:val="0"/>
        <w:spacing w:line="560" w:lineRule="exact"/>
        <w:ind w:left="0" w:leftChars="0" w:firstLine="560" w:firstLineChars="17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公司具有信息安全人才储备，且信息安全团队至少1人达到以下条件：</w:t>
      </w:r>
    </w:p>
    <w:p>
      <w:pPr>
        <w:pageBreakBefore w:val="0"/>
        <w:numPr>
          <w:ilvl w:val="0"/>
          <w:numId w:val="4"/>
        </w:numPr>
        <w:kinsoku/>
        <w:overflowPunct/>
        <w:topLinePunct w:val="0"/>
        <w:autoSpaceDE/>
        <w:autoSpaceDN/>
        <w:bidi w:val="0"/>
        <w:adjustRightInd/>
        <w:snapToGrid w:val="0"/>
        <w:spacing w:line="560" w:lineRule="exact"/>
        <w:ind w:left="0" w:leftChars="0" w:firstLine="560" w:firstLineChars="17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具有“渗透测试”相关服务项目经验，需提供相关佐证材料；</w:t>
      </w:r>
    </w:p>
    <w:p>
      <w:pPr>
        <w:pageBreakBefore w:val="0"/>
        <w:numPr>
          <w:ilvl w:val="0"/>
          <w:numId w:val="4"/>
        </w:numPr>
        <w:kinsoku/>
        <w:overflowPunct/>
        <w:topLinePunct w:val="0"/>
        <w:autoSpaceDE/>
        <w:autoSpaceDN/>
        <w:bidi w:val="0"/>
        <w:adjustRightInd/>
        <w:snapToGrid w:val="0"/>
        <w:spacing w:line="560" w:lineRule="exact"/>
        <w:ind w:left="0" w:leftChars="0" w:firstLine="560" w:firstLineChars="17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熟悉常见的安全漏洞技术原理，如OWASP TOP 10等；具备漏洞挖掘实践经验，有CVE、CNVD、CNNVD原创漏洞提交经验。</w:t>
      </w:r>
      <w:r>
        <w:rPr>
          <w:rFonts w:hint="eastAsia" w:ascii="楷体" w:hAnsi="楷体" w:eastAsia="楷体" w:cs="楷体"/>
          <w:sz w:val="32"/>
          <w:szCs w:val="32"/>
          <w:lang w:val="en-US" w:eastAsia="zh-CN"/>
        </w:rPr>
        <w:t>证明材料要求：</w:t>
      </w:r>
      <w:r>
        <w:rPr>
          <w:rFonts w:hint="eastAsia" w:ascii="仿宋" w:hAnsi="仿宋" w:eastAsia="仿宋" w:cs="仿宋"/>
          <w:sz w:val="32"/>
          <w:szCs w:val="32"/>
          <w:lang w:val="en-US" w:eastAsia="zh-CN"/>
        </w:rPr>
        <w:t>需提供官方的漏洞通告截图、提交者ID与本人关联关系佐证材料。</w:t>
      </w:r>
    </w:p>
    <w:p>
      <w:pPr>
        <w:pageBreakBefore w:val="0"/>
        <w:numPr>
          <w:ilvl w:val="0"/>
          <w:numId w:val="2"/>
        </w:numPr>
        <w:kinsoku/>
        <w:overflowPunct/>
        <w:topLinePunct w:val="0"/>
        <w:autoSpaceDE/>
        <w:autoSpaceDN/>
        <w:bidi w:val="0"/>
        <w:adjustRightInd/>
        <w:snapToGrid w:val="0"/>
        <w:spacing w:line="560" w:lineRule="exact"/>
        <w:ind w:left="0" w:leftChars="0" w:firstLine="560" w:firstLineChars="175"/>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基本人员要求</w:t>
      </w:r>
    </w:p>
    <w:p>
      <w:pPr>
        <w:pageBreakBefore w:val="0"/>
        <w:kinsoku/>
        <w:overflowPunct/>
        <w:topLinePunct w:val="0"/>
        <w:autoSpaceDE/>
        <w:autoSpaceDN/>
        <w:bidi w:val="0"/>
        <w:adjustRightInd/>
        <w:snapToGrid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提供基本的人力资源池，满足下列评分标准中项目管理、内控审查、信息安全、系统管理角色要求的人员每个角色至少2人（共计8人的基本人力资源池），当单个人员满足多个角色条件时，该人员只能计一种角色，不可重复计数。</w:t>
      </w:r>
    </w:p>
    <w:bookmarkEnd w:id="0"/>
    <w:p>
      <w:pPr>
        <w:pageBreakBefore w:val="0"/>
        <w:numPr>
          <w:ilvl w:val="0"/>
          <w:numId w:val="1"/>
        </w:numPr>
        <w:kinsoku/>
        <w:wordWrap w:val="0"/>
        <w:overflowPunct/>
        <w:topLinePunct w:val="0"/>
        <w:autoSpaceDE/>
        <w:autoSpaceDN/>
        <w:bidi w:val="0"/>
        <w:adjustRightInd/>
        <w:snapToGrid w:val="0"/>
        <w:spacing w:line="560" w:lineRule="exact"/>
        <w:ind w:left="0" w:leftChars="0" w:right="840" w:firstLine="560" w:firstLineChars="175"/>
        <w:textAlignment w:val="auto"/>
        <w:rPr>
          <w:rFonts w:ascii="黑体" w:hAnsi="黑体" w:eastAsia="黑体" w:cs="黑体"/>
          <w:sz w:val="32"/>
          <w:szCs w:val="32"/>
        </w:rPr>
      </w:pPr>
      <w:r>
        <w:rPr>
          <w:rFonts w:hint="eastAsia" w:ascii="黑体" w:hAnsi="黑体" w:eastAsia="黑体" w:cs="黑体"/>
          <w:sz w:val="32"/>
          <w:szCs w:val="32"/>
        </w:rPr>
        <w:t>评分标准</w:t>
      </w:r>
    </w:p>
    <w:p>
      <w:pPr>
        <w:pageBreakBefore w:val="0"/>
        <w:kinsoku/>
        <w:overflowPunct/>
        <w:topLinePunct w:val="0"/>
        <w:autoSpaceDE/>
        <w:autoSpaceDN/>
        <w:bidi w:val="0"/>
        <w:adjustRightInd/>
        <w:snapToGrid w:val="0"/>
        <w:spacing w:line="560" w:lineRule="exact"/>
        <w:ind w:left="0" w:leftChars="0" w:firstLine="560" w:firstLineChars="175"/>
        <w:textAlignment w:val="auto"/>
        <w:rPr>
          <w:rFonts w:hint="eastAsia" w:ascii="仿宋" w:hAnsi="仿宋" w:eastAsia="仿宋" w:cs="仿宋"/>
          <w:sz w:val="32"/>
          <w:szCs w:val="32"/>
        </w:rPr>
      </w:pPr>
      <w:r>
        <w:rPr>
          <w:rFonts w:hint="eastAsia" w:ascii="仿宋" w:hAnsi="仿宋" w:eastAsia="仿宋" w:cs="仿宋"/>
          <w:sz w:val="32"/>
          <w:szCs w:val="32"/>
        </w:rPr>
        <w:t>总分100分，其中投标报价</w:t>
      </w:r>
      <w:r>
        <w:rPr>
          <w:rFonts w:hint="eastAsia" w:ascii="仿宋" w:hAnsi="仿宋" w:eastAsia="仿宋" w:cs="仿宋"/>
          <w:sz w:val="32"/>
          <w:szCs w:val="32"/>
          <w:lang w:val="en-US" w:eastAsia="zh-CN"/>
        </w:rPr>
        <w:t>4</w:t>
      </w:r>
      <w:r>
        <w:rPr>
          <w:rFonts w:hint="eastAsia" w:ascii="仿宋" w:hAnsi="仿宋" w:eastAsia="仿宋" w:cs="仿宋"/>
          <w:sz w:val="32"/>
          <w:szCs w:val="32"/>
        </w:rPr>
        <w:t>0分，商务部分</w:t>
      </w:r>
      <w:r>
        <w:rPr>
          <w:rFonts w:hint="eastAsia" w:ascii="仿宋" w:hAnsi="仿宋" w:eastAsia="仿宋" w:cs="仿宋"/>
          <w:sz w:val="32"/>
          <w:szCs w:val="32"/>
          <w:lang w:val="en-US" w:eastAsia="zh-CN"/>
        </w:rPr>
        <w:t>4</w:t>
      </w:r>
      <w:r>
        <w:rPr>
          <w:rFonts w:hint="eastAsia" w:ascii="仿宋" w:hAnsi="仿宋" w:eastAsia="仿宋" w:cs="仿宋"/>
          <w:sz w:val="32"/>
          <w:szCs w:val="32"/>
        </w:rPr>
        <w:t>0分，技术部分</w:t>
      </w:r>
      <w:r>
        <w:rPr>
          <w:rFonts w:hint="eastAsia" w:ascii="仿宋" w:hAnsi="仿宋" w:eastAsia="仿宋" w:cs="仿宋"/>
          <w:sz w:val="32"/>
          <w:szCs w:val="32"/>
          <w:lang w:val="en-US" w:eastAsia="zh-CN"/>
        </w:rPr>
        <w:t>2</w:t>
      </w:r>
      <w:r>
        <w:rPr>
          <w:rFonts w:hint="eastAsia" w:ascii="仿宋" w:hAnsi="仿宋" w:eastAsia="仿宋" w:cs="仿宋"/>
          <w:sz w:val="32"/>
          <w:szCs w:val="32"/>
        </w:rPr>
        <w:t>0分。明细分配详见下表：</w:t>
      </w:r>
    </w:p>
    <w:tbl>
      <w:tblPr>
        <w:tblStyle w:val="4"/>
        <w:tblW w:w="8277" w:type="dxa"/>
        <w:tblInd w:w="1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96"/>
        <w:gridCol w:w="1427"/>
        <w:gridCol w:w="4390"/>
        <w:gridCol w:w="10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2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证明材料统一要求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77" w:type="dxa"/>
            <w:gridSpan w:val="4"/>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1．竞选人声明符合评分标准的均需提供相关证明材料，若证明材料内容模糊不清或无法证明满足相关要求的，均视为无效证明材料。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277" w:type="dxa"/>
            <w:gridSpan w:val="4"/>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2．提供的材料需可验证，验证方式视材料而定，除有明确要求外，供应商需在提供材料的同时自行提供验证方式及验证结果。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评分项</w:t>
            </w:r>
          </w:p>
        </w:tc>
        <w:tc>
          <w:tcPr>
            <w:tcW w:w="5817"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评分标准</w:t>
            </w:r>
          </w:p>
        </w:tc>
        <w:tc>
          <w:tcPr>
            <w:tcW w:w="1064"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277" w:type="dxa"/>
            <w:gridSpan w:val="4"/>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一、价格（40分）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396" w:type="dxa"/>
            <w:vMerge w:val="restart"/>
            <w:tcBorders>
              <w:top w:val="single" w:color="000000" w:sz="4" w:space="0"/>
              <w:left w:val="single" w:color="000000" w:sz="8"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报价（40分）</w:t>
            </w:r>
          </w:p>
        </w:tc>
        <w:tc>
          <w:tcPr>
            <w:tcW w:w="5817" w:type="dxa"/>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bidi="ar"/>
              </w:rPr>
            </w:pPr>
            <w:r>
              <w:rPr>
                <w:rFonts w:hint="eastAsia" w:ascii="宋体" w:hAnsi="宋体" w:eastAsia="宋体" w:cs="宋体"/>
                <w:b/>
                <w:bCs/>
                <w:i w:val="0"/>
                <w:iCs w:val="0"/>
                <w:color w:val="000000"/>
                <w:kern w:val="0"/>
                <w:sz w:val="22"/>
                <w:szCs w:val="22"/>
                <w:highlight w:val="none"/>
                <w:u w:val="none"/>
                <w:lang w:val="en-US" w:eastAsia="zh-CN" w:bidi="ar"/>
              </w:rPr>
              <w:t>低价优先法</w:t>
            </w:r>
          </w:p>
        </w:tc>
        <w:tc>
          <w:tcPr>
            <w:tcW w:w="1064" w:type="dxa"/>
            <w:vMerge w:val="restart"/>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trPr>
        <w:tc>
          <w:tcPr>
            <w:tcW w:w="1396" w:type="dxa"/>
            <w:vMerge w:val="continue"/>
            <w:tcBorders>
              <w:top w:val="single" w:color="000000" w:sz="4" w:space="0"/>
              <w:left w:val="single" w:color="000000" w:sz="8"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5817" w:type="dxa"/>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highlight w:val="none"/>
                <w:u w:val="none"/>
                <w:lang w:bidi="ar"/>
              </w:rPr>
            </w:pPr>
            <w:r>
              <w:rPr>
                <w:rFonts w:hint="eastAsia" w:ascii="宋体" w:hAnsi="宋体" w:eastAsia="宋体" w:cs="宋体"/>
                <w:i w:val="0"/>
                <w:iCs w:val="0"/>
                <w:color w:val="000000"/>
                <w:kern w:val="0"/>
                <w:sz w:val="22"/>
                <w:szCs w:val="22"/>
                <w:highlight w:val="none"/>
                <w:u w:val="none"/>
                <w:lang w:val="en-US" w:eastAsia="zh-CN" w:bidi="ar"/>
              </w:rPr>
              <w:t>满足招标/磋商文件要求且报价最低的为报价评审基准价，其价格分为满分。其他供应商的价格分统一按照下列公式计算：</w:t>
            </w:r>
          </w:p>
        </w:tc>
        <w:tc>
          <w:tcPr>
            <w:tcW w:w="1064" w:type="dxa"/>
            <w:vMerge w:val="continue"/>
            <w:tcBorders>
              <w:top w:val="single" w:color="000000" w:sz="4" w:space="0"/>
              <w:left w:val="single" w:color="000000" w:sz="4"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396" w:type="dxa"/>
            <w:vMerge w:val="continue"/>
            <w:tcBorders>
              <w:top w:val="single" w:color="000000" w:sz="4" w:space="0"/>
              <w:left w:val="single" w:color="000000" w:sz="8"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5817" w:type="dxa"/>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bidi="ar"/>
              </w:rPr>
            </w:pPr>
            <w:r>
              <w:rPr>
                <w:rFonts w:hint="eastAsia" w:ascii="宋体" w:hAnsi="宋体" w:eastAsia="宋体" w:cs="宋体"/>
                <w:i w:val="0"/>
                <w:iCs w:val="0"/>
                <w:color w:val="000000"/>
                <w:kern w:val="0"/>
                <w:sz w:val="22"/>
                <w:szCs w:val="22"/>
                <w:highlight w:val="none"/>
                <w:u w:val="none"/>
                <w:lang w:val="en-US" w:eastAsia="zh-CN" w:bidi="ar"/>
              </w:rPr>
              <w:t>报价得分=(评审基准价／投标或磋商报价)×权重</w:t>
            </w:r>
          </w:p>
        </w:tc>
        <w:tc>
          <w:tcPr>
            <w:tcW w:w="1064" w:type="dxa"/>
            <w:vMerge w:val="continue"/>
            <w:tcBorders>
              <w:top w:val="single" w:color="000000" w:sz="4" w:space="0"/>
              <w:left w:val="single" w:color="000000" w:sz="4"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396" w:type="dxa"/>
            <w:vMerge w:val="continue"/>
            <w:tcBorders>
              <w:top w:val="single" w:color="000000" w:sz="4" w:space="0"/>
              <w:left w:val="single" w:color="000000" w:sz="8"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5817" w:type="dxa"/>
            <w:gridSpan w:val="2"/>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注：以上计算的最终结果取小数点后两位，第三位四舍五入。</w:t>
            </w:r>
          </w:p>
        </w:tc>
        <w:tc>
          <w:tcPr>
            <w:tcW w:w="1064" w:type="dxa"/>
            <w:vMerge w:val="continue"/>
            <w:tcBorders>
              <w:top w:val="single" w:color="000000" w:sz="4" w:space="0"/>
              <w:left w:val="single" w:color="000000" w:sz="4" w:space="0"/>
              <w:bottom w:val="nil"/>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277" w:type="dxa"/>
            <w:gridSpan w:val="4"/>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二、商务评审（40分）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96"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人员配置（40分）</w:t>
            </w:r>
          </w:p>
        </w:tc>
        <w:tc>
          <w:tcPr>
            <w:tcW w:w="6881" w:type="dxa"/>
            <w:gridSpan w:val="3"/>
            <w:tcBorders>
              <w:top w:val="single" w:color="000000" w:sz="4" w:space="0"/>
              <w:left w:val="single" w:color="000000" w:sz="4"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本小节总则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6881" w:type="dxa"/>
            <w:gridSpan w:val="3"/>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1．为满足应标条件，每种角色须至少提供2人作为基础人力资源池。每人需要满足该角色的全部4项要求。作为应标条件的人员不计入本项评分。额外每增加一人得2分，每种角色最多获得10分。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6881" w:type="dxa"/>
            <w:gridSpan w:val="3"/>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2．提供的人员名单符合条件者，按单一角色计分，不可重复计分。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6881" w:type="dxa"/>
            <w:gridSpan w:val="3"/>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3．证明材料要求（见人员资料模板）：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6881" w:type="dxa"/>
            <w:gridSpan w:val="3"/>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 需提供拟参加人员的毕业证书及学信网查询证明；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6881" w:type="dxa"/>
            <w:gridSpan w:val="3"/>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 需提供认证资格证书复印件；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6881" w:type="dxa"/>
            <w:gridSpan w:val="3"/>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 需提供参加人员的过往工作经历及证明人联系方式；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6881" w:type="dxa"/>
            <w:gridSpan w:val="3"/>
            <w:tcBorders>
              <w:top w:val="nil"/>
              <w:left w:val="single" w:color="000000" w:sz="4" w:space="0"/>
              <w:bottom w:val="nil"/>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④ 需提供可以佐证参加的大型金融机构科技相关尽职调查经历的证明材料（项目资料、合同配置人员清单等）。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项目管理角色（10分）</w:t>
            </w: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 计算机相关专业毕业（本科或以上）；</w:t>
            </w:r>
          </w:p>
        </w:tc>
        <w:tc>
          <w:tcPr>
            <w:tcW w:w="106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 至少持有以下认证中的一项：PMP（项目管理专业人士资格认证）、Prince 2（国际项目管理师认证）、全国计算机技术软件专业技术资格（水平）高级考试：信息系统项目管理师、系统分析师、系统架构设计师、系统规划与管理师；</w:t>
            </w:r>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 金融或IT相关行业工作经验累积3年以上；</w:t>
            </w:r>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④ 参加过金融机构科技相关尽职调查案例的。</w:t>
            </w:r>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内控审查角色（10分）</w:t>
            </w: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 审计相关专业毕业（本科或以上）；</w:t>
            </w:r>
          </w:p>
        </w:tc>
        <w:tc>
          <w:tcPr>
            <w:tcW w:w="106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② 至少持有以下认证中的一项：CISA（国际信息系统审计师）、CPA（注册会计师）、ACCA（国际注册会计师）、认证高级审计师、CIA（国际内部审计师）；</w:t>
            </w:r>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 金融或IT相关行业工作经验累积3年以上；</w:t>
            </w:r>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④ 参加过金融机构科技相关尽职调查案例的。</w:t>
            </w:r>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信息安全角色（10分）</w:t>
            </w: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 信息安全相关专业毕业（本科或以上）；</w:t>
            </w:r>
          </w:p>
        </w:tc>
        <w:tc>
          <w:tcPr>
            <w:tcW w:w="106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bookmarkStart w:id="1" w:name="OLE_LINK2"/>
            <w:r>
              <w:rPr>
                <w:rFonts w:hint="eastAsia" w:ascii="宋体" w:hAnsi="宋体" w:eastAsia="宋体" w:cs="宋体"/>
                <w:i w:val="0"/>
                <w:iCs w:val="0"/>
                <w:color w:val="000000"/>
                <w:kern w:val="0"/>
                <w:sz w:val="22"/>
                <w:szCs w:val="22"/>
                <w:u w:val="none"/>
                <w:lang w:val="en-US" w:eastAsia="zh-CN" w:bidi="ar"/>
              </w:rPr>
              <w:t>② 至少持有以下认证中的一项：CISA（国际信息系统审计师）、CISP（注册信息安全专业人员）、CISSP（注册信息系统安全专家）、CISM（国际注册信息安全经理认证）、CISAW（信息安全保障从业人员认证）、NSACE（网络信息安全工程师）、CIIPT（重要信息系统安全保护人员）；</w:t>
            </w:r>
            <w:bookmarkEnd w:id="1"/>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 金融或IT相关行业工作经验累积3年以上；</w:t>
            </w:r>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④ 参加过金融机构科技相关尽职调查案例的。</w:t>
            </w:r>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系统管理角色（10分）</w:t>
            </w: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① 计算机相关专业毕业（本科或以上）；</w:t>
            </w:r>
          </w:p>
        </w:tc>
        <w:tc>
          <w:tcPr>
            <w:tcW w:w="106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bookmarkStart w:id="2" w:name="OLE_LINK3"/>
            <w:r>
              <w:rPr>
                <w:rFonts w:hint="eastAsia" w:ascii="宋体" w:hAnsi="宋体" w:eastAsia="宋体" w:cs="宋体"/>
                <w:i w:val="0"/>
                <w:iCs w:val="0"/>
                <w:color w:val="000000"/>
                <w:kern w:val="0"/>
                <w:sz w:val="22"/>
                <w:szCs w:val="22"/>
                <w:u w:val="none"/>
                <w:lang w:val="en-US" w:eastAsia="zh-CN" w:bidi="ar"/>
              </w:rPr>
              <w:t>② 至少持有以下认证中的一项：软件工程师职业技术证书（工信部）、CCNP（思科认证网络高级工程师）、HCNP（华为中级网络工程师）、RHCA（红帽认证架构师）、RHCSA（红帽认证管理员）、RHCE（红帽认证工程师）、CCIE（思科认证网路专家）、CCSP（云安全专家）、ITIL4（IT服务管理认证）；</w:t>
            </w:r>
            <w:bookmarkEnd w:id="2"/>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③ 金融或IT相关行业工作经验累积3年以上；</w:t>
            </w:r>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④ 参加过金融机构科技相关尽职调查案例的。</w:t>
            </w:r>
          </w:p>
        </w:tc>
        <w:tc>
          <w:tcPr>
            <w:tcW w:w="1064"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277" w:type="dxa"/>
            <w:gridSpan w:val="4"/>
            <w:tcBorders>
              <w:top w:val="single" w:color="000000" w:sz="4" w:space="0"/>
              <w:left w:val="single" w:color="000000" w:sz="8"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三、技术评审（20分）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96" w:type="dxa"/>
            <w:vMerge w:val="restart"/>
            <w:tcBorders>
              <w:top w:val="single" w:color="000000" w:sz="4" w:space="0"/>
              <w:left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尽调方案（20分）</w:t>
            </w:r>
          </w:p>
        </w:tc>
        <w:tc>
          <w:tcPr>
            <w:tcW w:w="6881" w:type="dxa"/>
            <w:gridSpan w:val="3"/>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针对招标文件中技术要求，投标人须在投标文件中提供详细的技术方案，评标委员会对技术方案的完整性、针对性、合理性及可行性进行横向比较并综合评审，按照以下标准进行评定：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1396" w:type="dxa"/>
            <w:vMerge w:val="continue"/>
            <w:tcBorders>
              <w:left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p>
        </w:tc>
        <w:tc>
          <w:tcPr>
            <w:tcW w:w="14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需求总体理解（10分）</w:t>
            </w:r>
          </w:p>
        </w:tc>
        <w:tc>
          <w:tcPr>
            <w:tcW w:w="439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对项目理解和认识全面、清晰、深刻，整体服务方案思路清晰、细节设计周全。可以从以下资料体现：尽职调查报告模板、尽职调查调查事项等。</w:t>
            </w:r>
          </w:p>
        </w:tc>
        <w:tc>
          <w:tcPr>
            <w:tcW w:w="106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left w:val="single" w:color="000000" w:sz="8"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得分依次为：</w:t>
            </w:r>
          </w:p>
        </w:tc>
        <w:tc>
          <w:tcPr>
            <w:tcW w:w="1064"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left w:val="single" w:color="000000" w:sz="8"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nil"/>
              <w:left w:val="single" w:color="auto" w:sz="4" w:space="0"/>
              <w:bottom w:val="nil"/>
              <w:right w:val="single" w:color="auto" w:sz="4" w:space="0"/>
            </w:tcBorders>
            <w:shd w:val="clear" w:color="auto" w:fill="auto"/>
            <w:vAlign w:val="center"/>
          </w:tcPr>
          <w:p>
            <w:pPr>
              <w:keepNext w:val="0"/>
              <w:keepLines w:val="0"/>
              <w:widowControl/>
              <w:numPr>
                <w:ilvl w:val="0"/>
                <w:numId w:val="5"/>
              </w:numPr>
              <w:suppressLineNumbers w:val="0"/>
              <w:ind w:left="0" w:leftChars="0"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优得8-10分；</w:t>
            </w:r>
          </w:p>
        </w:tc>
        <w:tc>
          <w:tcPr>
            <w:tcW w:w="1064"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1396" w:type="dxa"/>
            <w:vMerge w:val="continue"/>
            <w:tcBorders>
              <w:left w:val="single" w:color="000000" w:sz="8"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nil"/>
              <w:left w:val="single" w:color="auto" w:sz="4" w:space="0"/>
              <w:bottom w:val="nil"/>
              <w:right w:val="single" w:color="auto" w:sz="4" w:space="0"/>
            </w:tcBorders>
            <w:shd w:val="clear" w:color="auto" w:fill="auto"/>
            <w:vAlign w:val="center"/>
          </w:tcPr>
          <w:p>
            <w:pPr>
              <w:keepNext w:val="0"/>
              <w:keepLines w:val="0"/>
              <w:widowControl/>
              <w:numPr>
                <w:ilvl w:val="0"/>
                <w:numId w:val="5"/>
              </w:numPr>
              <w:suppressLineNumbers w:val="0"/>
              <w:ind w:left="0" w:leftChars="0"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良得4-8分；</w:t>
            </w:r>
          </w:p>
        </w:tc>
        <w:tc>
          <w:tcPr>
            <w:tcW w:w="1064"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 w:hRule="atLeast"/>
        </w:trPr>
        <w:tc>
          <w:tcPr>
            <w:tcW w:w="1396" w:type="dxa"/>
            <w:vMerge w:val="continue"/>
            <w:tcBorders>
              <w:left w:val="single" w:color="000000" w:sz="8"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left w:val="single" w:color="000000" w:sz="4" w:space="0"/>
              <w:right w:val="single" w:color="auto"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nil"/>
              <w:left w:val="single" w:color="auto" w:sz="4" w:space="0"/>
              <w:bottom w:val="nil"/>
              <w:right w:val="single" w:color="auto" w:sz="4" w:space="0"/>
            </w:tcBorders>
            <w:shd w:val="clear" w:color="auto" w:fill="auto"/>
            <w:vAlign w:val="center"/>
          </w:tcPr>
          <w:p>
            <w:pPr>
              <w:keepNext w:val="0"/>
              <w:keepLines w:val="0"/>
              <w:widowControl/>
              <w:numPr>
                <w:ilvl w:val="0"/>
                <w:numId w:val="5"/>
              </w:numPr>
              <w:suppressLineNumbers w:val="0"/>
              <w:ind w:left="0" w:leftChars="0" w:firstLine="440" w:firstLineChars="2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一般得1-4分；</w:t>
            </w:r>
          </w:p>
        </w:tc>
        <w:tc>
          <w:tcPr>
            <w:tcW w:w="1064"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left w:val="single" w:color="000000" w:sz="8"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5"/>
              </w:numPr>
              <w:suppressLineNumbers w:val="0"/>
              <w:ind w:left="0" w:leftChars="0"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较差得0-1分。</w:t>
            </w:r>
          </w:p>
        </w:tc>
        <w:tc>
          <w:tcPr>
            <w:tcW w:w="1064"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396" w:type="dxa"/>
            <w:vMerge w:val="continue"/>
            <w:tcBorders>
              <w:left w:val="single" w:color="000000" w:sz="8"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服务流程设计（10分）</w:t>
            </w:r>
          </w:p>
        </w:tc>
        <w:tc>
          <w:tcPr>
            <w:tcW w:w="4390"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能够主动建立密切的沟通交流机制，全程跟进该项目；设计完善的服务流程和时限要求，能够减少服务流程对项目推动时间的影响。</w:t>
            </w:r>
          </w:p>
        </w:tc>
        <w:tc>
          <w:tcPr>
            <w:tcW w:w="1064"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left w:val="single" w:color="000000" w:sz="8"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得分依次为：</w:t>
            </w:r>
          </w:p>
        </w:tc>
        <w:tc>
          <w:tcPr>
            <w:tcW w:w="1064"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left w:val="single" w:color="000000" w:sz="8"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nil"/>
              <w:left w:val="single" w:color="auto" w:sz="4" w:space="0"/>
              <w:bottom w:val="nil"/>
              <w:right w:val="single" w:color="auto" w:sz="4" w:space="0"/>
            </w:tcBorders>
            <w:shd w:val="clear" w:color="auto" w:fill="auto"/>
            <w:vAlign w:val="center"/>
          </w:tcPr>
          <w:p>
            <w:pPr>
              <w:keepNext w:val="0"/>
              <w:keepLines w:val="0"/>
              <w:widowControl/>
              <w:numPr>
                <w:ilvl w:val="0"/>
                <w:numId w:val="6"/>
              </w:numPr>
              <w:suppressLineNumbers w:val="0"/>
              <w:ind w:left="0" w:leftChars="0"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优得8-10分；</w:t>
            </w:r>
          </w:p>
        </w:tc>
        <w:tc>
          <w:tcPr>
            <w:tcW w:w="1064"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1396" w:type="dxa"/>
            <w:vMerge w:val="continue"/>
            <w:tcBorders>
              <w:left w:val="single" w:color="000000" w:sz="8"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nil"/>
              <w:left w:val="single" w:color="auto" w:sz="4" w:space="0"/>
              <w:bottom w:val="nil"/>
              <w:right w:val="single" w:color="auto" w:sz="4" w:space="0"/>
            </w:tcBorders>
            <w:shd w:val="clear" w:color="auto" w:fill="auto"/>
            <w:vAlign w:val="center"/>
          </w:tcPr>
          <w:p>
            <w:pPr>
              <w:keepNext w:val="0"/>
              <w:keepLines w:val="0"/>
              <w:widowControl/>
              <w:numPr>
                <w:ilvl w:val="0"/>
                <w:numId w:val="6"/>
              </w:numPr>
              <w:suppressLineNumbers w:val="0"/>
              <w:ind w:left="0" w:leftChars="0"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良得4-8分；</w:t>
            </w:r>
          </w:p>
        </w:tc>
        <w:tc>
          <w:tcPr>
            <w:tcW w:w="1064"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 w:hRule="atLeast"/>
        </w:trPr>
        <w:tc>
          <w:tcPr>
            <w:tcW w:w="1396" w:type="dxa"/>
            <w:vMerge w:val="continue"/>
            <w:tcBorders>
              <w:left w:val="single" w:color="000000" w:sz="8"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nil"/>
              <w:left w:val="single" w:color="auto" w:sz="4" w:space="0"/>
              <w:bottom w:val="nil"/>
              <w:right w:val="single" w:color="auto" w:sz="4" w:space="0"/>
            </w:tcBorders>
            <w:shd w:val="clear" w:color="auto" w:fill="auto"/>
            <w:vAlign w:val="center"/>
          </w:tcPr>
          <w:p>
            <w:pPr>
              <w:keepNext w:val="0"/>
              <w:keepLines w:val="0"/>
              <w:widowControl/>
              <w:numPr>
                <w:ilvl w:val="0"/>
                <w:numId w:val="6"/>
              </w:numPr>
              <w:suppressLineNumbers w:val="0"/>
              <w:ind w:left="0" w:leftChars="0" w:firstLine="440" w:firstLineChars="20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一般得1-3分；</w:t>
            </w:r>
          </w:p>
        </w:tc>
        <w:tc>
          <w:tcPr>
            <w:tcW w:w="1064"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96" w:type="dxa"/>
            <w:vMerge w:val="continue"/>
            <w:tcBorders>
              <w:left w:val="single" w:color="000000" w:sz="8"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1427"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宋体" w:hAnsi="宋体" w:eastAsia="宋体" w:cs="宋体"/>
                <w:b/>
                <w:bCs/>
                <w:i w:val="0"/>
                <w:iCs w:val="0"/>
                <w:color w:val="000000"/>
                <w:sz w:val="22"/>
                <w:szCs w:val="22"/>
                <w:u w:val="none"/>
              </w:rPr>
            </w:pPr>
          </w:p>
        </w:tc>
        <w:tc>
          <w:tcPr>
            <w:tcW w:w="439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6"/>
              </w:numPr>
              <w:suppressLineNumbers w:val="0"/>
              <w:ind w:left="0" w:leftChars="0" w:firstLine="440" w:firstLineChars="2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较差得0-1分。</w:t>
            </w:r>
          </w:p>
        </w:tc>
        <w:tc>
          <w:tcPr>
            <w:tcW w:w="1064" w:type="dxa"/>
            <w:vMerge w:val="continue"/>
            <w:tcBorders>
              <w:top w:val="single" w:color="000000" w:sz="4" w:space="0"/>
              <w:left w:val="single" w:color="auto" w:sz="4" w:space="0"/>
              <w:bottom w:val="single" w:color="000000" w:sz="4" w:space="0"/>
              <w:right w:val="single" w:color="000000" w:sz="8"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277" w:type="dxa"/>
            <w:gridSpan w:val="4"/>
            <w:tcBorders>
              <w:top w:val="single" w:color="000000"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总分合计：100分</w:t>
            </w:r>
          </w:p>
        </w:tc>
      </w:tr>
    </w:tbl>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A8D14"/>
    <w:multiLevelType w:val="singleLevel"/>
    <w:tmpl w:val="8A6A8D14"/>
    <w:lvl w:ilvl="0" w:tentative="0">
      <w:start w:val="1"/>
      <w:numFmt w:val="chineseCounting"/>
      <w:suff w:val="nothing"/>
      <w:lvlText w:val="%1、"/>
      <w:lvlJc w:val="left"/>
      <w:pPr>
        <w:ind w:left="0" w:firstLine="420"/>
      </w:pPr>
      <w:rPr>
        <w:rFonts w:hint="eastAsia"/>
      </w:rPr>
    </w:lvl>
  </w:abstractNum>
  <w:abstractNum w:abstractNumId="1">
    <w:nsid w:val="0F49534A"/>
    <w:multiLevelType w:val="singleLevel"/>
    <w:tmpl w:val="0F49534A"/>
    <w:lvl w:ilvl="0" w:tentative="0">
      <w:start w:val="1"/>
      <w:numFmt w:val="chineseCounting"/>
      <w:suff w:val="nothing"/>
      <w:lvlText w:val="（%1）"/>
      <w:lvlJc w:val="left"/>
      <w:pPr>
        <w:ind w:left="0" w:firstLine="420"/>
      </w:pPr>
      <w:rPr>
        <w:rFonts w:hint="eastAsia" w:ascii="楷体" w:hAnsi="楷体" w:eastAsia="楷体" w:cs="楷体"/>
        <w:sz w:val="32"/>
        <w:szCs w:val="32"/>
      </w:rPr>
    </w:lvl>
  </w:abstractNum>
  <w:abstractNum w:abstractNumId="2">
    <w:nsid w:val="1CEB7877"/>
    <w:multiLevelType w:val="singleLevel"/>
    <w:tmpl w:val="1CEB7877"/>
    <w:lvl w:ilvl="0" w:tentative="0">
      <w:start w:val="1"/>
      <w:numFmt w:val="decimal"/>
      <w:suff w:val="nothing"/>
      <w:lvlText w:val="%1．"/>
      <w:lvlJc w:val="left"/>
      <w:pPr>
        <w:ind w:left="0" w:firstLine="400"/>
      </w:pPr>
      <w:rPr>
        <w:rFonts w:hint="default"/>
      </w:rPr>
    </w:lvl>
  </w:abstractNum>
  <w:abstractNum w:abstractNumId="3">
    <w:nsid w:val="1D46AF88"/>
    <w:multiLevelType w:val="singleLevel"/>
    <w:tmpl w:val="1D46AF88"/>
    <w:lvl w:ilvl="0" w:tentative="0">
      <w:start w:val="1"/>
      <w:numFmt w:val="decimal"/>
      <w:suff w:val="nothing"/>
      <w:lvlText w:val="%1．"/>
      <w:lvlJc w:val="left"/>
      <w:pPr>
        <w:ind w:left="0" w:firstLine="400"/>
      </w:pPr>
      <w:rPr>
        <w:rFonts w:hint="default"/>
      </w:rPr>
    </w:lvl>
  </w:abstractNum>
  <w:abstractNum w:abstractNumId="4">
    <w:nsid w:val="39DAA3D1"/>
    <w:multiLevelType w:val="singleLevel"/>
    <w:tmpl w:val="39DAA3D1"/>
    <w:lvl w:ilvl="0" w:tentative="0">
      <w:start w:val="1"/>
      <w:numFmt w:val="decimal"/>
      <w:suff w:val="nothing"/>
      <w:lvlText w:val="%1．"/>
      <w:lvlJc w:val="left"/>
      <w:pPr>
        <w:ind w:left="0" w:firstLine="400"/>
      </w:pPr>
      <w:rPr>
        <w:rFonts w:hint="default"/>
      </w:rPr>
    </w:lvl>
  </w:abstractNum>
  <w:abstractNum w:abstractNumId="5">
    <w:nsid w:val="6315A96F"/>
    <w:multiLevelType w:val="singleLevel"/>
    <w:tmpl w:val="6315A96F"/>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B63D8"/>
    <w:rsid w:val="005D39B6"/>
    <w:rsid w:val="027622E5"/>
    <w:rsid w:val="0B1E0117"/>
    <w:rsid w:val="12500286"/>
    <w:rsid w:val="1D3A646D"/>
    <w:rsid w:val="20586AD4"/>
    <w:rsid w:val="3E950E30"/>
    <w:rsid w:val="5F9201B8"/>
    <w:rsid w:val="62126EC9"/>
    <w:rsid w:val="67B21283"/>
    <w:rsid w:val="69680FFD"/>
    <w:rsid w:val="6D4626B0"/>
    <w:rsid w:val="6F145AD7"/>
    <w:rsid w:val="734B63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1"/>
    <w:basedOn w:val="1"/>
    <w:next w:val="1"/>
    <w:qFormat/>
    <w:uiPriority w:val="0"/>
    <w:rPr>
      <w:rFonts w:eastAsia="楷体" w:asciiTheme="minorAscii" w:hAnsiTheme="minorAscii"/>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2024-03-26T10:01:00Z</dcterms:created>
  <dc:creator>刘臻娱</dc:creator>
  <cp:lastModifiedBy>刘臻娱</cp:lastModifiedBy>
  <dcterms:modified xsi:type="dcterms:W3CDTF">2024-03-26T10:02:00Z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BFAA9ED061164957833D8B053E6F0185</vt:lpwstr>
  </property>
</Properties>
</file>